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9" w:rsidRDefault="000227D4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2pt;margin-top:75.45pt;width:486.75pt;height:0;z-index:25166131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2pt;margin-top:.85pt;width:245.35pt;height:63.55pt;z-index:251660288;mso-width-relative:margin;mso-height-relative:margin">
            <v:textbox>
              <w:txbxContent>
                <w:p w:rsidR="00182A90" w:rsidRDefault="00E275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Schulcampus</w:t>
                  </w:r>
                </w:p>
                <w:p w:rsidR="00E2759D" w:rsidRPr="00DF2EFC" w:rsidRDefault="00E275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Tragkonstruktion und Fassade -Materialauswahl</w:t>
                  </w:r>
                </w:p>
              </w:txbxContent>
            </v:textbox>
          </v:shape>
        </w:pict>
      </w:r>
      <w:r w:rsidR="00DF2EFC" w:rsidRPr="00DF2EFC">
        <w:rPr>
          <w:noProof/>
          <w:lang w:eastAsia="de-DE"/>
        </w:rPr>
        <w:drawing>
          <wp:inline distT="0" distB="0" distL="0" distR="0">
            <wp:extent cx="2907030" cy="817576"/>
            <wp:effectExtent l="19050" t="0" r="7620" b="0"/>
            <wp:docPr id="1" name="Bild 1" descr="C:\Users\Jettkandt\Dropbox\Freie_Liste\Bilder\Logo Freie L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tkandt\Dropbox\Freie_Liste\Bilder\Logo Freie L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442" b="3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63" cy="81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FC" w:rsidRDefault="00DF2EFC" w:rsidP="00DF2EFC">
      <w:pPr>
        <w:jc w:val="center"/>
        <w:rPr>
          <w:sz w:val="18"/>
          <w:szCs w:val="18"/>
        </w:rPr>
      </w:pPr>
      <w:r w:rsidRPr="00DF2EFC">
        <w:rPr>
          <w:sz w:val="18"/>
          <w:szCs w:val="18"/>
        </w:rPr>
        <w:t xml:space="preserve">Hannes </w:t>
      </w:r>
      <w:proofErr w:type="spellStart"/>
      <w:r w:rsidRPr="00DF2EFC">
        <w:rPr>
          <w:sz w:val="18"/>
          <w:szCs w:val="18"/>
        </w:rPr>
        <w:t>Jettkandt</w:t>
      </w:r>
      <w:proofErr w:type="spellEnd"/>
      <w:r w:rsidRPr="00DF2EFC">
        <w:rPr>
          <w:sz w:val="18"/>
          <w:szCs w:val="18"/>
        </w:rPr>
        <w:t xml:space="preserve"> </w:t>
      </w:r>
      <w:hyperlink r:id="rId7" w:history="1">
        <w:r w:rsidRPr="00DF2EFC">
          <w:rPr>
            <w:rStyle w:val="Hyperlink"/>
            <w:sz w:val="18"/>
            <w:szCs w:val="18"/>
          </w:rPr>
          <w:t>jettkandt@freieliste-blumberg.de</w:t>
        </w:r>
      </w:hyperlink>
      <w:r w:rsidRPr="00DF2EFC">
        <w:rPr>
          <w:sz w:val="18"/>
          <w:szCs w:val="18"/>
        </w:rPr>
        <w:t xml:space="preserve"> freieliste-blumberg.de</w:t>
      </w:r>
    </w:p>
    <w:p w:rsidR="00643FFD" w:rsidRDefault="00643FFD" w:rsidP="00DF2EF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Blumberg, den </w:t>
      </w:r>
      <w:r w:rsidR="00E2759D">
        <w:rPr>
          <w:sz w:val="18"/>
          <w:szCs w:val="18"/>
        </w:rPr>
        <w:t>13.02.2020</w:t>
      </w:r>
    </w:p>
    <w:p w:rsidR="00182A90" w:rsidRPr="000F4FD2" w:rsidRDefault="00E2759D" w:rsidP="00E2759D">
      <w:pPr>
        <w:rPr>
          <w:b/>
          <w:sz w:val="24"/>
          <w:szCs w:val="24"/>
        </w:rPr>
      </w:pPr>
      <w:r w:rsidRPr="000F4FD2">
        <w:rPr>
          <w:b/>
          <w:sz w:val="24"/>
          <w:szCs w:val="24"/>
        </w:rPr>
        <w:t>Die Freie Liste stimmt dem Konstruktionsvorschlag des Büros Spiecker-Sauer-Lauer, das Schulgebäude in Holz-Beton-Hybridbauweise zu erstellen, wie in der Präsentation vorgestellt, zu.</w:t>
      </w:r>
    </w:p>
    <w:p w:rsidR="00E2759D" w:rsidRPr="000F4FD2" w:rsidRDefault="00E2759D" w:rsidP="00E2759D">
      <w:r w:rsidRPr="000F4FD2">
        <w:t>Begründung:</w:t>
      </w:r>
    </w:p>
    <w:p w:rsidR="00E2759D" w:rsidRPr="000F4FD2" w:rsidRDefault="00E2759D" w:rsidP="00E2759D">
      <w:r w:rsidRPr="000F4FD2">
        <w:t xml:space="preserve">„Es ist jedermanns Verantwortung, wo immer er oder sie ist, zu sehen, was er oder sie tatsächlich tun kann, um den Klimawandel zu bekämpfen und die biologische Vielfalt zu schützen.“ Christine </w:t>
      </w:r>
      <w:proofErr w:type="spellStart"/>
      <w:r w:rsidRPr="000F4FD2">
        <w:t>Lagarde</w:t>
      </w:r>
      <w:proofErr w:type="spellEnd"/>
    </w:p>
    <w:p w:rsidR="00E2759D" w:rsidRPr="000F4FD2" w:rsidRDefault="00E2759D" w:rsidP="00E2759D">
      <w:r w:rsidRPr="000F4FD2">
        <w:t xml:space="preserve">Es ist zwischenzeitlich jedem klar, dass der Anstieg des Co2 –Gehalts der Atmosphäre durch menschliche Aktivitäten einer der Hauptverursacher des Klimawandels ist. </w:t>
      </w:r>
      <w:r w:rsidR="00AB7CA4" w:rsidRPr="000F4FD2">
        <w:t>Deshalb ist es zwingend notwendig, den co2-Ausstoß zu reduzieren.</w:t>
      </w:r>
    </w:p>
    <w:p w:rsidR="00AB7CA4" w:rsidRPr="000F4FD2" w:rsidRDefault="00AB7CA4" w:rsidP="00E2759D">
      <w:r w:rsidRPr="000F4FD2">
        <w:t xml:space="preserve">Mit dem Bau des neuen Schulgebäudes in Holz-Beton-Hybridkonstruktion minimieren wir den Co2 –Ausstoß dieses Gebäudes. Wie das Büro Stahl und Weiß errechnete ( die Unterlagen lagen der Vorlage Dezember 2019 bei ) entspricht die Co2-Einsparung der vorgestellten Bauweise den Co2-Emissionen des Gebäudes im laufenden Betrieb von sechs Jahren. </w:t>
      </w:r>
    </w:p>
    <w:p w:rsidR="00AB7CA4" w:rsidRPr="0009432D" w:rsidRDefault="00AB7CA4" w:rsidP="00E2759D">
      <w:pPr>
        <w:rPr>
          <w:b/>
        </w:rPr>
      </w:pPr>
      <w:r w:rsidRPr="0009432D">
        <w:rPr>
          <w:b/>
        </w:rPr>
        <w:t xml:space="preserve">Um mit </w:t>
      </w:r>
      <w:proofErr w:type="spellStart"/>
      <w:r w:rsidRPr="0009432D">
        <w:rPr>
          <w:b/>
        </w:rPr>
        <w:t>Lagarde</w:t>
      </w:r>
      <w:proofErr w:type="spellEnd"/>
      <w:r w:rsidRPr="0009432D">
        <w:rPr>
          <w:b/>
        </w:rPr>
        <w:t xml:space="preserve"> zu sprechen: Hier können wir tatsächlich etwas tun, um den Klimawandel zu bekämpfen. </w:t>
      </w:r>
    </w:p>
    <w:p w:rsidR="00AB7CA4" w:rsidRPr="000F4FD2" w:rsidRDefault="00AB7CA4" w:rsidP="00E2759D">
      <w:r w:rsidRPr="000F4FD2">
        <w:t xml:space="preserve">Dass eine Holzbauweise nachhaltig und energieeffizient ist, wird auch durch die Holzbauoffensive der Landesregierung aus dem Jahr 2018 belegt. Dort heißt es: </w:t>
      </w:r>
      <w:proofErr w:type="spellStart"/>
      <w:r w:rsidRPr="000F4FD2">
        <w:t>Holzbau</w:t>
      </w:r>
      <w:proofErr w:type="spellEnd"/>
      <w:r w:rsidRPr="000F4FD2">
        <w:t xml:space="preserve"> und intelligente stoffliche Holzverwendung sind wichtiger Bestandteil im integrierten Energie- und Klimaschutzkonzept des Landes. In diesem Zusammenhang wird die Vorbildfunktion der öffentlichen Bauherrenschaft und ihrer Baugesellschaften formuliert.</w:t>
      </w:r>
    </w:p>
    <w:p w:rsidR="00AB7CA4" w:rsidRPr="0009432D" w:rsidRDefault="00AB7CA4" w:rsidP="00E2759D">
      <w:pPr>
        <w:rPr>
          <w:b/>
        </w:rPr>
      </w:pPr>
      <w:r w:rsidRPr="0009432D">
        <w:rPr>
          <w:b/>
        </w:rPr>
        <w:t>Mit der Hybridbauweise kann die Stadt Vorbild für</w:t>
      </w:r>
      <w:r w:rsidR="00DB219D" w:rsidRPr="0009432D">
        <w:rPr>
          <w:b/>
        </w:rPr>
        <w:t xml:space="preserve"> nachhaltiges Bauen sein.</w:t>
      </w:r>
    </w:p>
    <w:p w:rsidR="00DB219D" w:rsidRPr="000F4FD2" w:rsidRDefault="00DB219D" w:rsidP="00E2759D">
      <w:r w:rsidRPr="000F4FD2">
        <w:t xml:space="preserve">Im letzten Jahr wurden uns die Ergebnisse der Einstiegsberatung in den kommunalen Klimaschutz vorgestellt, dankenswerterweise durch die CDU-Fraktion angeregt. Möglichkeiten, wie in städtischen Gebäuden Klimaschutzmaßnahmen umgesetzt werden können, wurden aufgezeigt, ein kommunales Klimaschutzmanagement ist angedacht. </w:t>
      </w:r>
    </w:p>
    <w:p w:rsidR="00DB219D" w:rsidRPr="0009432D" w:rsidRDefault="00DB219D" w:rsidP="00E2759D">
      <w:pPr>
        <w:rPr>
          <w:b/>
        </w:rPr>
      </w:pPr>
      <w:r w:rsidRPr="0009432D">
        <w:rPr>
          <w:b/>
        </w:rPr>
        <w:t>Nun haben wir die Gelegenheit, einen großen Schulneubau auch unter Klimaschutzgesichtspunkten zu errichten und Co2-Ausstoß zu reduzieren. Das</w:t>
      </w:r>
      <w:r w:rsidR="000F4FD2" w:rsidRPr="0009432D">
        <w:rPr>
          <w:b/>
        </w:rPr>
        <w:t xml:space="preserve"> sollten wir unbedingt umsetzen, um den eigenen Ansprüchen an kommunalen Klimaschutz gerecht zu werden.</w:t>
      </w:r>
    </w:p>
    <w:p w:rsidR="000F4FD2" w:rsidRDefault="000F4FD2" w:rsidP="00E2759D"/>
    <w:p w:rsidR="000F4FD2" w:rsidRPr="000F4FD2" w:rsidRDefault="000F4FD2" w:rsidP="00E2759D"/>
    <w:p w:rsidR="00DB219D" w:rsidRPr="000F4FD2" w:rsidRDefault="007901DE" w:rsidP="00E2759D">
      <w:r>
        <w:lastRenderedPageBreak/>
        <w:t>Neben der durch den Hybridbau möglichen Co2-Einsparung bietet das Bauen mit Holz weitere Vorteile:</w:t>
      </w:r>
    </w:p>
    <w:p w:rsidR="00DB219D" w:rsidRPr="000F4FD2" w:rsidRDefault="00DB219D" w:rsidP="0009432D">
      <w:pPr>
        <w:pStyle w:val="Listenabsatz"/>
        <w:numPr>
          <w:ilvl w:val="0"/>
          <w:numId w:val="2"/>
        </w:numPr>
      </w:pPr>
      <w:r w:rsidRPr="000F4FD2">
        <w:t>Holz ist energieeffizient und nachhaltig, Holz hat eine hervorragende Ökobilanz</w:t>
      </w:r>
      <w:r w:rsidR="000F4FD2" w:rsidRPr="000F4FD2">
        <w:t>!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Holzwände und Decken werden energiesparend produziert und bearbeitet</w:t>
      </w:r>
      <w:r w:rsidR="007901DE">
        <w:t>.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Holz kann problemlos endverwertet werden, Holz kennt keinen Abfall!</w:t>
      </w:r>
    </w:p>
    <w:p w:rsidR="0009432D" w:rsidRDefault="000F4FD2" w:rsidP="0009432D">
      <w:pPr>
        <w:pStyle w:val="Listenabsatz"/>
        <w:numPr>
          <w:ilvl w:val="0"/>
          <w:numId w:val="2"/>
        </w:numPr>
      </w:pPr>
      <w:r w:rsidRPr="000F4FD2">
        <w:t xml:space="preserve">Holz hat eine hervorragende Wärmedämmung, 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Holz ist raumeffizient durch schlanke Bauteile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Holz ist zeiteffizient, kurze Bauzeiten</w:t>
      </w:r>
      <w:r w:rsidR="007901DE">
        <w:t>.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In Holzbauten herrscht gesunde Raumluft, Holz „atmet“</w:t>
      </w:r>
      <w:r w:rsidR="007901DE">
        <w:t>.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Fassaden sind dauerhaft und pflegeleicht</w:t>
      </w:r>
      <w:r w:rsidR="007901DE">
        <w:t>.</w:t>
      </w:r>
    </w:p>
    <w:p w:rsidR="000F4FD2" w:rsidRPr="000F4FD2" w:rsidRDefault="000F4FD2" w:rsidP="0009432D">
      <w:pPr>
        <w:pStyle w:val="Listenabsatz"/>
        <w:numPr>
          <w:ilvl w:val="0"/>
          <w:numId w:val="2"/>
        </w:numPr>
      </w:pPr>
      <w:r w:rsidRPr="000F4FD2">
        <w:t>Holz hat gute schalldämmende Eigenschaften</w:t>
      </w:r>
      <w:r w:rsidR="007901DE">
        <w:t>.</w:t>
      </w:r>
    </w:p>
    <w:p w:rsidR="000F4FD2" w:rsidRPr="000F4FD2" w:rsidRDefault="000F4FD2" w:rsidP="00E2759D"/>
    <w:p w:rsidR="000F4FD2" w:rsidRPr="0009432D" w:rsidRDefault="000F4FD2" w:rsidP="00E2759D">
      <w:pPr>
        <w:rPr>
          <w:b/>
        </w:rPr>
      </w:pPr>
      <w:r w:rsidRPr="0009432D">
        <w:rPr>
          <w:b/>
        </w:rPr>
        <w:t>Zur Kostenfrage:</w:t>
      </w:r>
    </w:p>
    <w:p w:rsidR="000F4FD2" w:rsidRPr="000F4FD2" w:rsidRDefault="000F4FD2" w:rsidP="00E2759D">
      <w:r w:rsidRPr="000F4FD2">
        <w:t xml:space="preserve">Die Hybridbauweise kostet </w:t>
      </w:r>
      <w:proofErr w:type="spellStart"/>
      <w:r w:rsidRPr="000F4FD2">
        <w:t>ca</w:t>
      </w:r>
      <w:proofErr w:type="spellEnd"/>
      <w:r w:rsidRPr="000F4FD2">
        <w:t xml:space="preserve"> 300 000 Euro mehr, das sind 20 % mehr in der Herstellung des Rohbaus, 2,5 %  Mehrkosten, wenn wir den fertiggestellten Bau betrachten. Reduziert oder vielleicht sogar neutralisiert werden diese Mehrkosten wahrscheinlich durch die mögliche Bezuschussung der innovativen, modernen Bauweise durch das Land.</w:t>
      </w:r>
    </w:p>
    <w:p w:rsidR="000F4FD2" w:rsidRDefault="000F4FD2" w:rsidP="00E2759D">
      <w:r w:rsidRPr="000F4FD2">
        <w:t>Diese Mehrkosten sind in Anbetracht des Mehrwertes, den diese Bauart mit sich bringt, tragbar und gerechtfertigt.</w:t>
      </w:r>
    </w:p>
    <w:p w:rsidR="0009432D" w:rsidRDefault="0009432D" w:rsidP="00E2759D">
      <w:r>
        <w:t>Zusammengefasst:</w:t>
      </w:r>
    </w:p>
    <w:p w:rsidR="0009432D" w:rsidRPr="0009432D" w:rsidRDefault="0009432D" w:rsidP="00E2759D">
      <w:pPr>
        <w:rPr>
          <w:b/>
          <w:sz w:val="28"/>
          <w:szCs w:val="28"/>
        </w:rPr>
      </w:pPr>
      <w:r w:rsidRPr="0009432D">
        <w:rPr>
          <w:b/>
          <w:sz w:val="28"/>
          <w:szCs w:val="28"/>
        </w:rPr>
        <w:t>Wir sind gewiss nicht auf dem Holzweg, wenn wir mit Holz bauen!</w:t>
      </w:r>
    </w:p>
    <w:p w:rsidR="000F4FD2" w:rsidRPr="000F4FD2" w:rsidRDefault="000F4FD2" w:rsidP="00E2759D"/>
    <w:p w:rsidR="00182A90" w:rsidRPr="000F4FD2" w:rsidRDefault="00182A90" w:rsidP="00182A90"/>
    <w:p w:rsidR="00182A90" w:rsidRDefault="00182A90" w:rsidP="00182A90"/>
    <w:p w:rsidR="00182A90" w:rsidRDefault="00182A90" w:rsidP="00182A90"/>
    <w:p w:rsidR="00182A90" w:rsidRDefault="00182A90" w:rsidP="00182A90">
      <w:r>
        <w:rPr>
          <w:noProof/>
          <w:lang w:eastAsia="de-DE"/>
        </w:rPr>
        <w:drawing>
          <wp:inline distT="0" distB="0" distL="0" distR="0">
            <wp:extent cx="1561033" cy="849861"/>
            <wp:effectExtent l="19050" t="0" r="1067" b="0"/>
            <wp:docPr id="2" name="Grafik 1" descr="Unterschrift Jettkan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Jettkand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877" cy="8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BB" w:rsidRDefault="000C3DBB" w:rsidP="00182A90">
      <w:r>
        <w:t>(Fraktionssprecher)</w:t>
      </w:r>
    </w:p>
    <w:p w:rsidR="00182A90" w:rsidRDefault="00182A90" w:rsidP="00DF2EFC">
      <w:pPr>
        <w:jc w:val="center"/>
        <w:rPr>
          <w:sz w:val="18"/>
          <w:szCs w:val="18"/>
        </w:rPr>
      </w:pPr>
    </w:p>
    <w:p w:rsidR="00FE3412" w:rsidRPr="00643FFD" w:rsidRDefault="00FE3412" w:rsidP="00643FFD">
      <w:pPr>
        <w:rPr>
          <w:sz w:val="24"/>
          <w:szCs w:val="24"/>
        </w:rPr>
      </w:pPr>
    </w:p>
    <w:p w:rsidR="00DF2EFC" w:rsidRPr="00DF2EFC" w:rsidRDefault="00DF2EFC" w:rsidP="00F10A17">
      <w:pPr>
        <w:rPr>
          <w:sz w:val="18"/>
          <w:szCs w:val="18"/>
        </w:rPr>
      </w:pPr>
    </w:p>
    <w:sectPr w:rsidR="00DF2EFC" w:rsidRPr="00DF2EFC" w:rsidSect="00AC1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3AA9"/>
    <w:multiLevelType w:val="hybridMultilevel"/>
    <w:tmpl w:val="5DD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3A64"/>
    <w:multiLevelType w:val="hybridMultilevel"/>
    <w:tmpl w:val="9918B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2EFC"/>
    <w:rsid w:val="000227D4"/>
    <w:rsid w:val="0009432D"/>
    <w:rsid w:val="000C3DBB"/>
    <w:rsid w:val="000F3336"/>
    <w:rsid w:val="000F4FD2"/>
    <w:rsid w:val="00105FF8"/>
    <w:rsid w:val="00115BD1"/>
    <w:rsid w:val="00182A90"/>
    <w:rsid w:val="003D3B8D"/>
    <w:rsid w:val="003F128E"/>
    <w:rsid w:val="005E6FF4"/>
    <w:rsid w:val="00610E35"/>
    <w:rsid w:val="00643FFD"/>
    <w:rsid w:val="007901DE"/>
    <w:rsid w:val="00843A93"/>
    <w:rsid w:val="00855EF0"/>
    <w:rsid w:val="00A36EA8"/>
    <w:rsid w:val="00A43643"/>
    <w:rsid w:val="00AB2B6D"/>
    <w:rsid w:val="00AB7CA4"/>
    <w:rsid w:val="00AC1AC9"/>
    <w:rsid w:val="00AD2E8C"/>
    <w:rsid w:val="00B7553F"/>
    <w:rsid w:val="00C01A7F"/>
    <w:rsid w:val="00C73BE1"/>
    <w:rsid w:val="00C96F1F"/>
    <w:rsid w:val="00CA4BC8"/>
    <w:rsid w:val="00CB3320"/>
    <w:rsid w:val="00CD7AB8"/>
    <w:rsid w:val="00DB219D"/>
    <w:rsid w:val="00DF2EFC"/>
    <w:rsid w:val="00E2759D"/>
    <w:rsid w:val="00E50BF3"/>
    <w:rsid w:val="00EB3BF4"/>
    <w:rsid w:val="00EE3DF4"/>
    <w:rsid w:val="00F10A17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A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E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E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3DF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B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ettkandt@freieliste-blu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E3F5-908B-4080-80E7-0FD2A1A5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Jettkandt</dc:creator>
  <cp:lastModifiedBy>Hannes Jettkandt</cp:lastModifiedBy>
  <cp:revision>3</cp:revision>
  <cp:lastPrinted>2019-10-01T17:06:00Z</cp:lastPrinted>
  <dcterms:created xsi:type="dcterms:W3CDTF">2020-02-11T14:52:00Z</dcterms:created>
  <dcterms:modified xsi:type="dcterms:W3CDTF">2020-02-15T13:47:00Z</dcterms:modified>
</cp:coreProperties>
</file>